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407D1345"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8D3E09">
        <w:rPr>
          <w:rFonts w:cs="B Mitra" w:hint="cs"/>
          <w:b/>
          <w:bCs/>
          <w:sz w:val="32"/>
          <w:szCs w:val="32"/>
          <w:rtl/>
          <w:lang w:bidi="fa-IR"/>
        </w:rPr>
        <w:t>80</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5B058399" w14:textId="67DED7AA" w:rsidR="00D27803" w:rsidRDefault="00D27803" w:rsidP="002B7F7E">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دو اشکال از اشکالات وارد بر مدعای شهيد ثانی را جلسه قبل مطرح کرديم.</w:t>
      </w:r>
    </w:p>
    <w:p w14:paraId="6B5ACA4E" w14:textId="1A988939" w:rsidR="008D3E09" w:rsidRDefault="00D27803" w:rsidP="00D27803">
      <w:pPr>
        <w:widowControl w:val="0"/>
        <w:bidi/>
        <w:spacing w:after="0" w:line="252" w:lineRule="auto"/>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lang w:bidi="fa-IR"/>
        </w:rPr>
        <w:t xml:space="preserve">اشکال </w:t>
      </w:r>
      <w:r w:rsidR="00074CC5">
        <w:rPr>
          <w:rFonts w:ascii="Traditional Arabic" w:hAnsi="Traditional Arabic" w:cs="Abz-2 (Badr)" w:hint="cs"/>
          <w:color w:val="000000" w:themeColor="text1"/>
          <w:sz w:val="28"/>
          <w:szCs w:val="28"/>
          <w:rtl/>
          <w:lang w:bidi="fa-IR"/>
        </w:rPr>
        <w:t>ديگری</w:t>
      </w:r>
      <w:r>
        <w:rPr>
          <w:rFonts w:ascii="Traditional Arabic" w:hAnsi="Traditional Arabic" w:cs="Abz-2 (Badr)" w:hint="cs"/>
          <w:color w:val="000000" w:themeColor="text1"/>
          <w:sz w:val="28"/>
          <w:szCs w:val="28"/>
          <w:rtl/>
          <w:lang w:bidi="fa-IR"/>
        </w:rPr>
        <w:t xml:space="preserve"> که به مدعای </w:t>
      </w:r>
      <w:r w:rsidR="00881E43">
        <w:rPr>
          <w:rFonts w:ascii="Traditional Arabic" w:hAnsi="Traditional Arabic" w:cs="Abz-2 (Badr)" w:hint="cs"/>
          <w:color w:val="000000" w:themeColor="text1"/>
          <w:sz w:val="28"/>
          <w:szCs w:val="28"/>
          <w:rtl/>
          <w:lang w:bidi="fa-IR"/>
        </w:rPr>
        <w:t>ايشان</w:t>
      </w:r>
      <w:r>
        <w:rPr>
          <w:rFonts w:ascii="Traditional Arabic" w:hAnsi="Traditional Arabic" w:cs="Abz-2 (Badr)" w:hint="cs"/>
          <w:color w:val="000000" w:themeColor="text1"/>
          <w:sz w:val="28"/>
          <w:szCs w:val="28"/>
          <w:rtl/>
          <w:lang w:bidi="fa-IR"/>
        </w:rPr>
        <w:t xml:space="preserve"> </w:t>
      </w:r>
      <w:r w:rsidR="00074CC5">
        <w:rPr>
          <w:rFonts w:ascii="Traditional Arabic" w:hAnsi="Traditional Arabic" w:cs="Abz-2 (Badr)" w:hint="cs"/>
          <w:color w:val="000000" w:themeColor="text1"/>
          <w:sz w:val="28"/>
          <w:szCs w:val="28"/>
          <w:rtl/>
          <w:lang w:bidi="fa-IR"/>
        </w:rPr>
        <w:t xml:space="preserve">ممکن </w:t>
      </w:r>
      <w:r>
        <w:rPr>
          <w:rFonts w:ascii="Traditional Arabic" w:hAnsi="Traditional Arabic" w:cs="Abz-2 (Badr)" w:hint="cs"/>
          <w:color w:val="000000" w:themeColor="text1"/>
          <w:sz w:val="28"/>
          <w:szCs w:val="28"/>
          <w:rtl/>
          <w:lang w:bidi="fa-IR"/>
        </w:rPr>
        <w:t xml:space="preserve">است </w:t>
      </w:r>
      <w:r w:rsidR="00074CC5">
        <w:rPr>
          <w:rFonts w:ascii="Traditional Arabic" w:hAnsi="Traditional Arabic" w:cs="Abz-2 (Badr)" w:hint="cs"/>
          <w:color w:val="000000" w:themeColor="text1"/>
          <w:sz w:val="28"/>
          <w:szCs w:val="28"/>
          <w:rtl/>
          <w:lang w:bidi="fa-IR"/>
        </w:rPr>
        <w:t xml:space="preserve">وارد شود </w:t>
      </w:r>
      <w:r>
        <w:rPr>
          <w:rFonts w:ascii="Traditional Arabic" w:hAnsi="Traditional Arabic" w:cs="Abz-2 (Badr)" w:hint="cs"/>
          <w:color w:val="000000" w:themeColor="text1"/>
          <w:sz w:val="28"/>
          <w:szCs w:val="28"/>
          <w:rtl/>
          <w:lang w:bidi="fa-IR"/>
        </w:rPr>
        <w:t>اين است که</w:t>
      </w:r>
      <w:r w:rsidR="008D3E09">
        <w:rPr>
          <w:rFonts w:ascii="Traditional Arabic" w:hAnsi="Traditional Arabic" w:cs="Abz-2 (Badr)" w:hint="cs"/>
          <w:color w:val="000000" w:themeColor="text1"/>
          <w:sz w:val="28"/>
          <w:szCs w:val="28"/>
          <w:rtl/>
        </w:rPr>
        <w:t xml:space="preserve"> در نزاع در اکثر حمل</w:t>
      </w:r>
      <w:r>
        <w:rPr>
          <w:rFonts w:ascii="Traditional Arabic" w:hAnsi="Traditional Arabic" w:cs="Abz-2 (Badr)" w:hint="cs"/>
          <w:color w:val="000000" w:themeColor="text1"/>
          <w:sz w:val="28"/>
          <w:szCs w:val="28"/>
          <w:rtl/>
        </w:rPr>
        <w:t>،</w:t>
      </w:r>
      <w:r w:rsidR="008D3E09">
        <w:rPr>
          <w:rFonts w:ascii="Traditional Arabic" w:hAnsi="Traditional Arabic" w:cs="Abz-2 (Badr)" w:hint="cs"/>
          <w:color w:val="000000" w:themeColor="text1"/>
          <w:sz w:val="28"/>
          <w:szCs w:val="28"/>
          <w:rtl/>
        </w:rPr>
        <w:t xml:space="preserve"> استصحاب عدم گذشت نه ماه تا زمان وضع حمل، با استصحاب عدم وضع حمل تا گذشت نه ماه در تعارض است، همان گونه که در نزاع در اقل حمل نيز استصحاب عدم وضع حمل تا گذشت شش ماه با استصحاب عدم گذشت شش ماه تا زمان وضع حمل معارضه دارد. بنابر اين نمی</w:t>
      </w:r>
      <w:r w:rsidR="008D3E09">
        <w:rPr>
          <w:rFonts w:ascii="Traditional Arabic" w:hAnsi="Traditional Arabic" w:cs="Abz-2 (Badr)"/>
          <w:color w:val="000000" w:themeColor="text1"/>
          <w:sz w:val="28"/>
          <w:szCs w:val="28"/>
          <w:rtl/>
        </w:rPr>
        <w:softHyphen/>
      </w:r>
      <w:r w:rsidR="008D3E09">
        <w:rPr>
          <w:rFonts w:ascii="Traditional Arabic" w:hAnsi="Traditional Arabic" w:cs="Abz-2 (Badr)" w:hint="cs"/>
          <w:color w:val="000000" w:themeColor="text1"/>
          <w:sz w:val="28"/>
          <w:szCs w:val="28"/>
          <w:rtl/>
        </w:rPr>
        <w:t>توان قول هيچ از زوج و زوجه را در هيچ يک از اين دو دعوی مطابق با اصل دانست.</w:t>
      </w:r>
    </w:p>
    <w:p w14:paraId="15101337" w14:textId="12F2E632" w:rsidR="008D3E09" w:rsidRDefault="00074CC5" w:rsidP="002B7F7E">
      <w:pPr>
        <w:widowControl w:val="0"/>
        <w:bidi/>
        <w:spacing w:after="0" w:line="252" w:lineRule="auto"/>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t>ولی پاسخ اين است که</w:t>
      </w:r>
      <w:r w:rsidR="008D3E09">
        <w:rPr>
          <w:rFonts w:ascii="Traditional Arabic" w:hAnsi="Traditional Arabic" w:cs="Abz-2 (Badr)" w:hint="cs"/>
          <w:color w:val="000000" w:themeColor="text1"/>
          <w:sz w:val="28"/>
          <w:szCs w:val="28"/>
          <w:rtl/>
        </w:rPr>
        <w:t xml:space="preserve"> وضع حمل بعد از گذشت شش يا نه ماه، لازمه استصحاب عدم وضع حمل تا گذشت شش يا نه ماه است، در نتيجه اين دو استصحاب بجز به نحو مثبت اثری نخواهند داشت، در حالی که استصحاب عدم گذشت شش يا نه ماه تا وضع حمل، معنايی بجز وضع حمل قبل از گذشت شش يا نه ماه ندارد. بنابر اين چنانچه نزاع در گذشت اقل مدت حمل باشد، اصل موافق با قول زوج است، و در صورتی که نزاع در اکثر مدّت حمل باشد، اصل موافق با قول زوجه می</w:t>
      </w:r>
      <w:r w:rsidR="008D3E09">
        <w:rPr>
          <w:rFonts w:ascii="Traditional Arabic" w:hAnsi="Traditional Arabic" w:cs="Abz-2 (Badr)"/>
          <w:color w:val="000000" w:themeColor="text1"/>
          <w:sz w:val="28"/>
          <w:szCs w:val="28"/>
          <w:rtl/>
        </w:rPr>
        <w:softHyphen/>
      </w:r>
      <w:r w:rsidR="008D3E09">
        <w:rPr>
          <w:rFonts w:ascii="Traditional Arabic" w:hAnsi="Traditional Arabic" w:cs="Abz-2 (Badr)" w:hint="cs"/>
          <w:color w:val="000000" w:themeColor="text1"/>
          <w:sz w:val="28"/>
          <w:szCs w:val="28"/>
          <w:rtl/>
        </w:rPr>
        <w:t>باشد که همان تفصيلی است که شهيد ثانی ادعا کرده است.</w:t>
      </w:r>
    </w:p>
    <w:p w14:paraId="24BDE8A5" w14:textId="77777777" w:rsidR="008D3E09" w:rsidRDefault="008D3E09" w:rsidP="002B7F7E">
      <w:pPr>
        <w:widowControl w:val="0"/>
        <w:bidi/>
        <w:spacing w:after="0" w:line="252" w:lineRule="auto"/>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t>صاحب مدارک</w:t>
      </w:r>
      <w:r w:rsidRPr="003F4CF0">
        <w:rPr>
          <w:rFonts w:ascii="Traditional Arabic" w:hAnsi="Traditional Arabic" w:cs="Abz-2 (Badr)"/>
          <w:color w:val="000000" w:themeColor="text1"/>
          <w:sz w:val="28"/>
          <w:szCs w:val="28"/>
          <w:vertAlign w:val="superscript"/>
          <w:rtl/>
          <w:lang w:bidi="ar"/>
        </w:rPr>
        <w:footnoteReference w:id="1"/>
      </w:r>
      <w:r>
        <w:rPr>
          <w:rFonts w:ascii="Traditional Arabic" w:hAnsi="Traditional Arabic" w:cs="Abz-2 (Badr)" w:hint="cs"/>
          <w:color w:val="000000" w:themeColor="text1"/>
          <w:sz w:val="28"/>
          <w:szCs w:val="28"/>
          <w:rtl/>
        </w:rPr>
        <w:t xml:space="preserve"> و صاحب حدائق</w:t>
      </w:r>
      <w:r w:rsidRPr="003F4CF0">
        <w:rPr>
          <w:rFonts w:ascii="Traditional Arabic" w:hAnsi="Traditional Arabic" w:cs="Abz-2 (Badr)"/>
          <w:color w:val="000000" w:themeColor="text1"/>
          <w:sz w:val="28"/>
          <w:szCs w:val="28"/>
          <w:vertAlign w:val="superscript"/>
          <w:rtl/>
          <w:lang w:bidi="ar"/>
        </w:rPr>
        <w:footnoteReference w:id="2"/>
      </w:r>
      <w:r>
        <w:rPr>
          <w:rFonts w:ascii="Traditional Arabic" w:hAnsi="Traditional Arabic" w:cs="Abz-2 (Badr)" w:hint="cs"/>
          <w:color w:val="000000" w:themeColor="text1"/>
          <w:sz w:val="28"/>
          <w:szCs w:val="28"/>
          <w:rtl/>
        </w:rPr>
        <w:t xml:space="preserve"> نيز قائل به همين تفصيل شده</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اند.</w:t>
      </w:r>
    </w:p>
    <w:p w14:paraId="2492B63E" w14:textId="77777777" w:rsidR="008D3E09" w:rsidRPr="00484527" w:rsidRDefault="008D3E09" w:rsidP="002B7F7E">
      <w:pPr>
        <w:widowControl w:val="0"/>
        <w:bidi/>
        <w:spacing w:after="0" w:line="252"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color w:val="000000" w:themeColor="text1"/>
          <w:sz w:val="28"/>
          <w:szCs w:val="28"/>
          <w:rtl/>
        </w:rPr>
        <w:t xml:space="preserve">اما کاشف اللثام در توجيه مدعای شهيد اول فرموده است: </w:t>
      </w:r>
      <w:r w:rsidRPr="00484527">
        <w:rPr>
          <w:rFonts w:ascii="Traditional Arabic" w:hAnsi="Traditional Arabic" w:cs="Abz-2 (Badr)" w:hint="cs"/>
          <w:color w:val="0070C0"/>
          <w:sz w:val="28"/>
          <w:szCs w:val="28"/>
          <w:rtl/>
        </w:rPr>
        <w:t>«</w:t>
      </w:r>
      <w:r w:rsidRPr="00484527">
        <w:rPr>
          <w:rFonts w:ascii="Traditional Arabic" w:hAnsi="Traditional Arabic" w:cs="Abz-2 (Badr)"/>
          <w:color w:val="0070C0"/>
          <w:sz w:val="28"/>
          <w:szCs w:val="28"/>
          <w:rtl/>
          <w:lang w:bidi="ar"/>
        </w:rPr>
        <w:t>كأنّه نظر إلى الرجوع إليها في العلوق بالولد، فإنّه من فعلها فيقدّم قولها مطلقا</w:t>
      </w:r>
      <w:r w:rsidRPr="00484527">
        <w:rPr>
          <w:rFonts w:ascii="Traditional Arabic" w:hAnsi="Traditional Arabic" w:cs="Abz-2 (Badr)" w:hint="cs"/>
          <w:color w:val="0070C0"/>
          <w:sz w:val="28"/>
          <w:szCs w:val="28"/>
          <w:rtl/>
          <w:lang w:bidi="ar"/>
        </w:rPr>
        <w:t>ً</w:t>
      </w:r>
      <w:r w:rsidRPr="00484527">
        <w:rPr>
          <w:rFonts w:ascii="Traditional Arabic" w:hAnsi="Traditional Arabic" w:cs="Abz-2 (Badr)"/>
          <w:color w:val="0070C0"/>
          <w:sz w:val="28"/>
          <w:szCs w:val="28"/>
          <w:rtl/>
          <w:lang w:bidi="ar"/>
        </w:rPr>
        <w:t>.</w:t>
      </w:r>
      <w:r w:rsidRPr="00484527">
        <w:rPr>
          <w:rFonts w:ascii="Traditional Arabic" w:hAnsi="Traditional Arabic" w:cs="Abz-2 (Badr)" w:hint="cs"/>
          <w:color w:val="0070C0"/>
          <w:sz w:val="28"/>
          <w:szCs w:val="28"/>
          <w:rtl/>
          <w:lang w:bidi="ar"/>
        </w:rPr>
        <w:t>»</w:t>
      </w:r>
      <w:r w:rsidRPr="003F4CF0">
        <w:rPr>
          <w:rFonts w:ascii="Traditional Arabic" w:hAnsi="Traditional Arabic" w:cs="Abz-2 (Badr)"/>
          <w:color w:val="000000" w:themeColor="text1"/>
          <w:sz w:val="28"/>
          <w:szCs w:val="28"/>
          <w:vertAlign w:val="superscript"/>
          <w:rtl/>
          <w:lang w:bidi="ar"/>
        </w:rPr>
        <w:footnoteReference w:id="3"/>
      </w:r>
    </w:p>
    <w:p w14:paraId="2B663A1F" w14:textId="77777777" w:rsidR="008D3E09" w:rsidRDefault="008D3E09" w:rsidP="002B7F7E">
      <w:pPr>
        <w:widowControl w:val="0"/>
        <w:bidi/>
        <w:spacing w:after="0" w:line="252" w:lineRule="auto"/>
        <w:ind w:firstLine="284"/>
        <w:jc w:val="both"/>
        <w:rPr>
          <w:rFonts w:ascii="Traditional Arabic" w:hAnsi="Traditional Arabic" w:cs="Abz-2 (Badr)"/>
          <w:color w:val="000000" w:themeColor="text1"/>
          <w:sz w:val="28"/>
          <w:szCs w:val="28"/>
          <w:rtl/>
        </w:rPr>
      </w:pPr>
      <w:r>
        <w:rPr>
          <w:rFonts w:ascii="Traditional Arabic" w:hAnsi="Traditional Arabic" w:cs="Abz-2 (Badr)" w:hint="cs"/>
          <w:color w:val="000000" w:themeColor="text1"/>
          <w:sz w:val="28"/>
          <w:szCs w:val="28"/>
          <w:rtl/>
        </w:rPr>
        <w:t>ولی ضعف اين مطلب واضح است، زيرا تشکيل جنين فعل کسی نيست، بلکه امری قهری است که مترتب بر فعلی است که از زوج و زوجه هر دو سر می</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زند.</w:t>
      </w:r>
    </w:p>
    <w:p w14:paraId="0BD089B0" w14:textId="77777777" w:rsidR="008D3E09" w:rsidRDefault="008D3E09" w:rsidP="002B7F7E">
      <w:pPr>
        <w:widowControl w:val="0"/>
        <w:bidi/>
        <w:spacing w:after="0" w:line="252"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color w:val="000000" w:themeColor="text1"/>
          <w:sz w:val="28"/>
          <w:szCs w:val="28"/>
          <w:rtl/>
        </w:rPr>
        <w:lastRenderedPageBreak/>
        <w:t>صاحب رياض نيز بعد از اين که به مانند شهيد ثانی می</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فرمايد که کلمات اصحاب در خصوص تقديم قول زوجه در اين مسأله مطلق است و شامل نزاع در اقل مدت حمل نيز می</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شود، می</w:t>
      </w:r>
      <w:r>
        <w:rPr>
          <w:rFonts w:ascii="Traditional Arabic" w:hAnsi="Traditional Arabic" w:cs="Abz-2 (Badr)"/>
          <w:color w:val="000000" w:themeColor="text1"/>
          <w:sz w:val="28"/>
          <w:szCs w:val="28"/>
          <w:rtl/>
        </w:rPr>
        <w:softHyphen/>
      </w:r>
      <w:r>
        <w:rPr>
          <w:rFonts w:ascii="Traditional Arabic" w:hAnsi="Traditional Arabic" w:cs="Abz-2 (Badr)" w:hint="cs"/>
          <w:color w:val="000000" w:themeColor="text1"/>
          <w:sz w:val="28"/>
          <w:szCs w:val="28"/>
          <w:rtl/>
        </w:rPr>
        <w:t xml:space="preserve">فرمايد: </w:t>
      </w:r>
      <w:r w:rsidRPr="00872BC7">
        <w:rPr>
          <w:rFonts w:ascii="Traditional Arabic" w:hAnsi="Traditional Arabic" w:cs="Abz-2 (Badr)" w:hint="cs"/>
          <w:color w:val="0070C0"/>
          <w:sz w:val="28"/>
          <w:szCs w:val="28"/>
          <w:rtl/>
        </w:rPr>
        <w:t>«</w:t>
      </w:r>
      <w:r w:rsidRPr="00880E6D">
        <w:rPr>
          <w:rFonts w:ascii="Traditional Arabic" w:hAnsi="Traditional Arabic" w:cs="Abz-2 (Badr)"/>
          <w:color w:val="0070C0"/>
          <w:sz w:val="28"/>
          <w:szCs w:val="28"/>
          <w:rtl/>
          <w:lang w:bidi="ar"/>
        </w:rPr>
        <w:t>في الاكتفاء بمثله في الخروج عن مقتضى‌ الأصل إشكال</w:t>
      </w:r>
      <w:r>
        <w:rPr>
          <w:rFonts w:ascii="Traditional Arabic" w:hAnsi="Traditional Arabic" w:cs="Abz-2 (Badr)" w:hint="cs"/>
          <w:color w:val="0070C0"/>
          <w:sz w:val="28"/>
          <w:szCs w:val="28"/>
          <w:rtl/>
          <w:lang w:bidi="ar"/>
        </w:rPr>
        <w:t>.</w:t>
      </w:r>
    </w:p>
    <w:p w14:paraId="5A3ED0EB" w14:textId="77777777" w:rsidR="008D3E09" w:rsidRPr="00880E6D" w:rsidRDefault="008D3E09" w:rsidP="002B7F7E">
      <w:pPr>
        <w:widowControl w:val="0"/>
        <w:bidi/>
        <w:spacing w:after="0" w:line="252" w:lineRule="auto"/>
        <w:ind w:firstLine="284"/>
        <w:jc w:val="both"/>
        <w:rPr>
          <w:rFonts w:ascii="Traditional Arabic" w:hAnsi="Traditional Arabic" w:cs="Abz-2 (Badr)"/>
          <w:color w:val="0070C0"/>
          <w:sz w:val="28"/>
          <w:szCs w:val="28"/>
        </w:rPr>
      </w:pPr>
      <w:r w:rsidRPr="00880E6D">
        <w:rPr>
          <w:rFonts w:ascii="Traditional Arabic" w:hAnsi="Traditional Arabic" w:cs="Abz-2 (Badr)"/>
          <w:color w:val="0070C0"/>
          <w:sz w:val="28"/>
          <w:szCs w:val="28"/>
          <w:rtl/>
          <w:lang w:bidi="ar"/>
        </w:rPr>
        <w:t>إلا أن يعتضد بعموم: «الولد للفراش»</w:t>
      </w:r>
      <w:r>
        <w:rPr>
          <w:rFonts w:ascii="Traditional Arabic" w:hAnsi="Traditional Arabic" w:cs="Abz-2 (Badr)" w:hint="cs"/>
          <w:color w:val="0070C0"/>
          <w:sz w:val="28"/>
          <w:szCs w:val="28"/>
          <w:rtl/>
          <w:lang w:bidi="ar"/>
        </w:rPr>
        <w:t>،</w:t>
      </w:r>
      <w:r w:rsidRPr="00872BC7">
        <w:rPr>
          <w:rFonts w:ascii="Traditional Arabic" w:hAnsi="Traditional Arabic" w:cs="Abz-2 (Badr)" w:hint="cs"/>
          <w:color w:val="0070C0"/>
          <w:sz w:val="28"/>
          <w:szCs w:val="28"/>
          <w:rtl/>
          <w:lang w:bidi="ar"/>
        </w:rPr>
        <w:t xml:space="preserve"> </w:t>
      </w:r>
      <w:r w:rsidRPr="00880E6D">
        <w:rPr>
          <w:rFonts w:ascii="Traditional Arabic" w:hAnsi="Traditional Arabic" w:cs="Abz-2 (Badr)"/>
          <w:color w:val="0070C0"/>
          <w:sz w:val="28"/>
          <w:szCs w:val="28"/>
          <w:rtl/>
          <w:lang w:bidi="ar"/>
        </w:rPr>
        <w:t>ولا ينتقض بصورة وقوع النزاع في الدخول</w:t>
      </w:r>
      <w:r w:rsidRPr="00872BC7">
        <w:rPr>
          <w:rFonts w:ascii="Traditional Arabic" w:hAnsi="Traditional Arabic" w:cs="Abz-2 (Badr)" w:hint="cs"/>
          <w:color w:val="0070C0"/>
          <w:sz w:val="28"/>
          <w:szCs w:val="28"/>
          <w:rtl/>
          <w:lang w:bidi="ar"/>
        </w:rPr>
        <w:t>،</w:t>
      </w:r>
      <w:r w:rsidRPr="00880E6D">
        <w:rPr>
          <w:rFonts w:ascii="Traditional Arabic" w:hAnsi="Traditional Arabic" w:cs="Abz-2 (Badr)"/>
          <w:color w:val="0070C0"/>
          <w:sz w:val="28"/>
          <w:szCs w:val="28"/>
          <w:rtl/>
          <w:lang w:bidi="ar"/>
        </w:rPr>
        <w:t xml:space="preserve"> لعدم الفراش فيها بدون ثبوته، بخلاف المقام</w:t>
      </w:r>
      <w:r w:rsidRPr="00872BC7">
        <w:rPr>
          <w:rFonts w:ascii="Traditional Arabic" w:hAnsi="Traditional Arabic" w:cs="Abz-2 (Badr)" w:hint="cs"/>
          <w:color w:val="0070C0"/>
          <w:sz w:val="28"/>
          <w:szCs w:val="28"/>
          <w:rtl/>
          <w:lang w:bidi="ar"/>
        </w:rPr>
        <w:t>،</w:t>
      </w:r>
      <w:r w:rsidRPr="00880E6D">
        <w:rPr>
          <w:rFonts w:ascii="Traditional Arabic" w:hAnsi="Traditional Arabic" w:cs="Abz-2 (Badr)"/>
          <w:color w:val="0070C0"/>
          <w:sz w:val="28"/>
          <w:szCs w:val="28"/>
          <w:rtl/>
          <w:lang w:bidi="ar"/>
        </w:rPr>
        <w:t xml:space="preserve"> لثبوته بثبوته باتّفاقهما عليه. </w:t>
      </w:r>
    </w:p>
    <w:p w14:paraId="36E1B91D" w14:textId="77777777" w:rsidR="008D3E09" w:rsidRPr="00880E6D" w:rsidRDefault="008D3E09" w:rsidP="002B7F7E">
      <w:pPr>
        <w:widowControl w:val="0"/>
        <w:bidi/>
        <w:spacing w:after="0"/>
        <w:ind w:firstLine="284"/>
        <w:jc w:val="both"/>
        <w:rPr>
          <w:rFonts w:ascii="Traditional Arabic" w:hAnsi="Traditional Arabic" w:cs="Abz-2 (Badr)"/>
          <w:color w:val="0070C0"/>
          <w:sz w:val="28"/>
          <w:szCs w:val="28"/>
          <w:rtl/>
          <w:lang w:bidi="fa-IR"/>
        </w:rPr>
      </w:pPr>
      <w:r w:rsidRPr="00880E6D">
        <w:rPr>
          <w:rFonts w:ascii="Traditional Arabic" w:hAnsi="Traditional Arabic" w:cs="Abz-2 (Badr)"/>
          <w:color w:val="0070C0"/>
          <w:sz w:val="28"/>
          <w:szCs w:val="28"/>
          <w:rtl/>
          <w:lang w:bidi="ar"/>
        </w:rPr>
        <w:t>هذا مع إمكان المناقشة في الأصل الذي ادّعي كونه مع الزوج، كيف لا؟ وهو معارض بأصالة عدم موجب للحمل لها غير دخوله، وبعد التعارض لابدّ من المصير إلى‌ الترجيح، وهو معها</w:t>
      </w:r>
      <w:r w:rsidRPr="00872BC7">
        <w:rPr>
          <w:rFonts w:ascii="Traditional Arabic" w:hAnsi="Traditional Arabic" w:cs="Abz-2 (Badr)" w:hint="cs"/>
          <w:color w:val="0070C0"/>
          <w:sz w:val="28"/>
          <w:szCs w:val="28"/>
          <w:rtl/>
          <w:lang w:bidi="ar"/>
        </w:rPr>
        <w:t>،</w:t>
      </w:r>
      <w:r w:rsidRPr="00880E6D">
        <w:rPr>
          <w:rFonts w:ascii="Traditional Arabic" w:hAnsi="Traditional Arabic" w:cs="Abz-2 (Badr)"/>
          <w:color w:val="0070C0"/>
          <w:sz w:val="28"/>
          <w:szCs w:val="28"/>
          <w:rtl/>
          <w:lang w:bidi="ar"/>
        </w:rPr>
        <w:t xml:space="preserve"> للعموم المتقدّم، ولا ينقض بالصورة المتقدّم ذكرها</w:t>
      </w:r>
      <w:r w:rsidRPr="00872BC7">
        <w:rPr>
          <w:rFonts w:ascii="Traditional Arabic" w:hAnsi="Traditional Arabic" w:cs="Abz-2 (Badr)" w:hint="cs"/>
          <w:color w:val="0070C0"/>
          <w:sz w:val="28"/>
          <w:szCs w:val="28"/>
          <w:rtl/>
          <w:lang w:bidi="ar"/>
        </w:rPr>
        <w:t>،</w:t>
      </w:r>
      <w:r w:rsidRPr="00880E6D">
        <w:rPr>
          <w:rFonts w:ascii="Traditional Arabic" w:hAnsi="Traditional Arabic" w:cs="Abz-2 (Badr)"/>
          <w:color w:val="0070C0"/>
          <w:sz w:val="28"/>
          <w:szCs w:val="28"/>
          <w:rtl/>
          <w:lang w:bidi="ar"/>
        </w:rPr>
        <w:t xml:space="preserve"> لانتفاء المرجّح المزبور فيها كما مضى، فهذا أقوى.</w:t>
      </w:r>
      <w:r w:rsidRPr="00872BC7">
        <w:rPr>
          <w:rFonts w:ascii="Traditional Arabic" w:hAnsi="Traditional Arabic" w:cs="Abz-2 (Badr)" w:hint="cs"/>
          <w:color w:val="0070C0"/>
          <w:sz w:val="28"/>
          <w:szCs w:val="28"/>
          <w:rtl/>
          <w:lang w:bidi="ar"/>
        </w:rPr>
        <w:t>»</w:t>
      </w:r>
      <w:bookmarkStart w:id="1" w:name="_Hlk187485991"/>
      <w:r w:rsidRPr="003F4CF0">
        <w:rPr>
          <w:rFonts w:ascii="Traditional Arabic" w:hAnsi="Traditional Arabic" w:cs="Abz-2 (Badr)"/>
          <w:color w:val="000000" w:themeColor="text1"/>
          <w:sz w:val="28"/>
          <w:szCs w:val="28"/>
          <w:vertAlign w:val="superscript"/>
          <w:rtl/>
          <w:lang w:bidi="ar"/>
        </w:rPr>
        <w:footnoteReference w:id="4"/>
      </w:r>
      <w:bookmarkEnd w:id="1"/>
    </w:p>
    <w:p w14:paraId="0C875D0A" w14:textId="77777777" w:rsidR="008D3E09" w:rsidRDefault="008D3E09" w:rsidP="002B7F7E">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ولی همان گونه که گفتيم وقتی نزاع در اين باشد که مورد از موارد تمسّک به اماره فراش هست يا خير،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قول کسی را که مطابق با اماره فراش است مقدم بر قول طرف ديگر دانست. اما اين که چون توافق بر وقوع دخول وجود دارد، پس اماره فراش جاری است و قول زن چون مطابق با آن است مقدم است، اشکال آن اين است که صرف دخول، سبب جريان اماره فراش نيست، بلکه جريان آن در جايی است که وضع حمل بين ادنی مدت حمل و اقصی مدت آن باشد که فرض اين است که محل نزاع است.</w:t>
      </w:r>
    </w:p>
    <w:p w14:paraId="4008F165" w14:textId="77777777" w:rsidR="008D3E09" w:rsidRDefault="008D3E09" w:rsidP="002B7F7E">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اگر گفته شود: بر اساس آنچه که سابقاً ادعا کرديد، مادامی که علم به اين وجود نداشته باشد که وضع حمل خارج از اين مدت است، اخذ به اماره فراش ممکن است و در اين جا نيز چون چنين علمی وجود ندارد، پس بايد اماره فراش جاری باشد.</w:t>
      </w:r>
    </w:p>
    <w:p w14:paraId="32218257" w14:textId="77777777" w:rsidR="008D3E09" w:rsidRDefault="008D3E09" w:rsidP="002B7F7E">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پاسخ اين است که آنچه که سابقاً گذشت، در جايی است که نزاعی وجود نداشته باشد، وگرنه با وجود نزاع در جريان اماره فراش و ادعای زوج مبنی بر اين که اين اماره جاری نيست،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با تمسّک به آن قول زوجه را مقدم دانست.</w:t>
      </w:r>
    </w:p>
    <w:p w14:paraId="7618F511" w14:textId="20FEB8A7" w:rsidR="00CE19BA" w:rsidRDefault="008D3E09" w:rsidP="002B2416">
      <w:pPr>
        <w:widowControl w:val="0"/>
        <w:bidi/>
        <w:spacing w:after="0"/>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اما ادعای تعارض اصل عدم گذشت اقل مدت تا وضع حمل با اصل عدم موجب ديگری برای حمل زوجه، دارای </w:t>
      </w:r>
      <w:r>
        <w:rPr>
          <w:rFonts w:ascii="Traditional Arabic" w:hAnsi="Traditional Arabic" w:cs="Abz-2 (Badr)" w:hint="cs"/>
          <w:color w:val="000000" w:themeColor="text1"/>
          <w:sz w:val="28"/>
          <w:szCs w:val="28"/>
          <w:rtl/>
          <w:lang w:bidi="fa-IR"/>
        </w:rPr>
        <w:lastRenderedPageBreak/>
        <w:t>اشکال واضحی است، چون اصل دوم جز به نحو مثبت ثابت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که فرزند متکون از نطفه زوج است.</w:t>
      </w:r>
    </w:p>
    <w:p w14:paraId="2C02B07C" w14:textId="10736D82" w:rsidR="0037764F" w:rsidRDefault="002B2416" w:rsidP="0004418F">
      <w:pPr>
        <w:widowControl w:val="0"/>
        <w:bidi/>
        <w:spacing w:after="0"/>
        <w:ind w:firstLine="284"/>
        <w:jc w:val="both"/>
        <w:rPr>
          <w:rFonts w:ascii="Traditional Arabic" w:hAnsi="Traditional Arabic" w:cs="Abz-2 (Badr)"/>
          <w:color w:val="0070C0"/>
          <w:sz w:val="28"/>
          <w:szCs w:val="28"/>
          <w:lang w:bidi="ar"/>
        </w:rPr>
      </w:pPr>
      <w:bookmarkStart w:id="2" w:name="_Hlk187486266"/>
      <w:r>
        <w:rPr>
          <w:rFonts w:ascii="Traditional Arabic" w:hAnsi="Traditional Arabic" w:cs="Abz-2 (Badr)" w:hint="cs"/>
          <w:color w:val="000000" w:themeColor="text1"/>
          <w:sz w:val="28"/>
          <w:szCs w:val="28"/>
          <w:rtl/>
          <w:lang w:bidi="fa-IR"/>
        </w:rPr>
        <w:t>اما صاحب جواهر در خصوص وجه مدعای محقق مبنی بر ثبوت لعان در اين فرض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الظاهر أن</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مبناها أصالة لحوق الولد بالوطء المحترم حت</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ى يتبي</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ن فساد ذلك، وهي قاعدة أ</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خرى غير قاعدة «الولد للفراش» ولو لكونها أخص</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منها، وحينئذ</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فمتى تحق</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ق الوطء ح</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كم شرعا</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بلحوق الولد إلا إذا علم العدم بالوضع لأقل</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الحمل أو لأقصاه أو لغير ذلك، ففي الفرض الذي قد تحق</w:t>
      </w:r>
      <w:r w:rsidRPr="002B2416">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ق فيه الوطء واختلفا في المد</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ة تكون المرأة منكرة على كل</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حال باعتبار موافقة دعواها الأصل المزبور، من غير فرق بين دعوى الزوج الأزيد من أقصى الحمل أو الأقل</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من أدناه، إذ هو على كل</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حال مد</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ع</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 xml:space="preserve"> ما ينافي أصالة لحوق الولد بالواطي، ولعل</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ه لذا أ</w:t>
      </w:r>
      <w:r>
        <w:rPr>
          <w:rFonts w:ascii="Traditional Arabic" w:hAnsi="Traditional Arabic" w:cs="Abz-2 (Badr)" w:hint="cs"/>
          <w:color w:val="0070C0"/>
          <w:sz w:val="28"/>
          <w:szCs w:val="28"/>
          <w:rtl/>
          <w:lang w:bidi="fa-IR"/>
        </w:rPr>
        <w:t>ُ</w:t>
      </w:r>
      <w:r w:rsidRPr="002B2416">
        <w:rPr>
          <w:rFonts w:ascii="Traditional Arabic" w:hAnsi="Traditional Arabic" w:cs="Abz-2 (Badr)"/>
          <w:color w:val="0070C0"/>
          <w:sz w:val="28"/>
          <w:szCs w:val="28"/>
          <w:rtl/>
          <w:lang w:bidi="fa-IR"/>
        </w:rPr>
        <w:t>طلق الحلف.</w:t>
      </w:r>
      <w:r w:rsidRPr="002B2416">
        <w:rPr>
          <w:rFonts w:ascii="Traditional Arabic" w:hAnsi="Traditional Arabic" w:cs="Abz-2 (Badr)" w:hint="cs"/>
          <w:color w:val="0070C0"/>
          <w:sz w:val="28"/>
          <w:szCs w:val="28"/>
          <w:rtl/>
          <w:lang w:bidi="fa-IR"/>
        </w:rPr>
        <w:t>»</w:t>
      </w:r>
      <w:r w:rsidRPr="003F4CF0">
        <w:rPr>
          <w:rFonts w:ascii="Traditional Arabic" w:hAnsi="Traditional Arabic" w:cs="Abz-2 (Badr)"/>
          <w:color w:val="000000" w:themeColor="text1"/>
          <w:sz w:val="28"/>
          <w:szCs w:val="28"/>
          <w:vertAlign w:val="superscript"/>
          <w:rtl/>
          <w:lang w:bidi="ar"/>
        </w:rPr>
        <w:footnoteReference w:id="5"/>
      </w:r>
      <w:bookmarkEnd w:id="2"/>
    </w:p>
    <w:p w14:paraId="51791E42" w14:textId="461AA8B9" w:rsidR="0004418F" w:rsidRPr="0004418F" w:rsidRDefault="0004418F" w:rsidP="0004418F">
      <w:pPr>
        <w:widowControl w:val="0"/>
        <w:bidi/>
        <w:spacing w:after="0"/>
        <w:ind w:firstLine="284"/>
        <w:jc w:val="both"/>
        <w:rPr>
          <w:rFonts w:ascii="Traditional Arabic" w:hAnsi="Traditional Arabic" w:cs="Abz-2 (Badr)"/>
          <w:color w:val="000000" w:themeColor="text1"/>
          <w:sz w:val="28"/>
          <w:szCs w:val="28"/>
          <w:rtl/>
          <w:lang w:bidi="fa-IR"/>
        </w:rPr>
      </w:pPr>
      <w:r w:rsidRPr="0004418F">
        <w:rPr>
          <w:rFonts w:ascii="Traditional Arabic" w:hAnsi="Traditional Arabic" w:cs="Abz-2 (Badr)" w:hint="cs"/>
          <w:color w:val="000000" w:themeColor="text1"/>
          <w:sz w:val="28"/>
          <w:szCs w:val="28"/>
          <w:rtl/>
          <w:lang w:bidi="fa-IR"/>
        </w:rPr>
        <w:t>نقد کلمات ايشان را جلسه آينده مطرح خواهيم کرد ان شاء الله.</w:t>
      </w:r>
    </w:p>
    <w:sectPr w:rsidR="0004418F" w:rsidRPr="0004418F" w:rsidSect="00EE459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78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F545" w14:textId="77777777" w:rsidR="0004777C" w:rsidRDefault="0004777C" w:rsidP="00F71127">
      <w:pPr>
        <w:spacing w:after="0" w:line="240" w:lineRule="auto"/>
      </w:pPr>
      <w:r>
        <w:separator/>
      </w:r>
    </w:p>
  </w:endnote>
  <w:endnote w:type="continuationSeparator" w:id="0">
    <w:p w14:paraId="685E0DE3" w14:textId="77777777" w:rsidR="0004777C" w:rsidRDefault="0004777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2272" w14:textId="77777777" w:rsidR="00EE4595" w:rsidRDefault="00EE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81F41" w14:textId="77777777" w:rsidR="00EE4595" w:rsidRDefault="00EE4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A023" w14:textId="77777777" w:rsidR="0004777C" w:rsidRDefault="0004777C" w:rsidP="00EE25C0">
      <w:pPr>
        <w:bidi/>
        <w:spacing w:after="0" w:line="240" w:lineRule="auto"/>
      </w:pPr>
      <w:r>
        <w:separator/>
      </w:r>
    </w:p>
  </w:footnote>
  <w:footnote w:type="continuationSeparator" w:id="0">
    <w:p w14:paraId="4572A4FD" w14:textId="77777777" w:rsidR="0004777C" w:rsidRDefault="0004777C" w:rsidP="00F71127">
      <w:pPr>
        <w:bidi/>
        <w:spacing w:after="0" w:line="240" w:lineRule="auto"/>
      </w:pPr>
      <w:r>
        <w:continuationSeparator/>
      </w:r>
    </w:p>
  </w:footnote>
  <w:footnote w:id="1">
    <w:p w14:paraId="5EC33B26" w14:textId="77777777" w:rsidR="008D3E09" w:rsidRPr="008D3E09" w:rsidRDefault="008D3E09" w:rsidP="008D3E09">
      <w:pPr>
        <w:pStyle w:val="FootnoteText"/>
        <w:bidi/>
        <w:rPr>
          <w:rFonts w:cs="Abz-2 (Badr)"/>
          <w:rtl/>
          <w:lang w:bidi="fa-IR"/>
        </w:rPr>
      </w:pPr>
      <w:r w:rsidRPr="008D3E09">
        <w:rPr>
          <w:rStyle w:val="FootnoteReference"/>
          <w:rFonts w:cs="Abz-2 (Badr)"/>
          <w:vertAlign w:val="baseline"/>
        </w:rPr>
        <w:footnoteRef/>
      </w:r>
      <w:r w:rsidRPr="008D3E09">
        <w:rPr>
          <w:rFonts w:cs="Abz-2 (Badr)" w:hint="cs"/>
          <w:rtl/>
        </w:rPr>
        <w:t xml:space="preserve"> ـ نهاية المرام</w:t>
      </w:r>
      <w:r w:rsidRPr="008D3E09">
        <w:rPr>
          <w:rFonts w:cs="Abz-2 (Badr)" w:hint="cs"/>
          <w:rtl/>
          <w:lang w:bidi="fa-IR"/>
        </w:rPr>
        <w:t>،ج1،ص436</w:t>
      </w:r>
      <w:r w:rsidRPr="008D3E09">
        <w:rPr>
          <w:rFonts w:cs="Abz-2 (Badr)" w:hint="cs"/>
          <w:rtl/>
        </w:rPr>
        <w:t>.</w:t>
      </w:r>
    </w:p>
  </w:footnote>
  <w:footnote w:id="2">
    <w:p w14:paraId="02C117CB" w14:textId="77777777" w:rsidR="008D3E09" w:rsidRPr="008D3E09" w:rsidRDefault="008D3E09" w:rsidP="008D3E09">
      <w:pPr>
        <w:pStyle w:val="FootnoteText"/>
        <w:bidi/>
        <w:rPr>
          <w:rFonts w:cs="Abz-2 (Badr)"/>
          <w:rtl/>
          <w:lang w:bidi="fa-IR"/>
        </w:rPr>
      </w:pPr>
      <w:r w:rsidRPr="008D3E09">
        <w:rPr>
          <w:rStyle w:val="FootnoteReference"/>
          <w:rFonts w:cs="Abz-2 (Badr)"/>
          <w:vertAlign w:val="baseline"/>
        </w:rPr>
        <w:footnoteRef/>
      </w:r>
      <w:r w:rsidRPr="008D3E09">
        <w:rPr>
          <w:rFonts w:cs="Abz-2 (Badr)" w:hint="cs"/>
          <w:rtl/>
        </w:rPr>
        <w:t xml:space="preserve"> ـ حدائق</w:t>
      </w:r>
      <w:r w:rsidRPr="008D3E09">
        <w:rPr>
          <w:rFonts w:cs="Abz-2 (Badr)" w:hint="cs"/>
          <w:rtl/>
          <w:lang w:bidi="fa-IR"/>
        </w:rPr>
        <w:t>،ج25،ص15 و 16</w:t>
      </w:r>
      <w:r w:rsidRPr="008D3E09">
        <w:rPr>
          <w:rFonts w:cs="Abz-2 (Badr)" w:hint="cs"/>
          <w:rtl/>
        </w:rPr>
        <w:t>.</w:t>
      </w:r>
    </w:p>
  </w:footnote>
  <w:footnote w:id="3">
    <w:p w14:paraId="44BA8B4E" w14:textId="77777777" w:rsidR="008D3E09" w:rsidRDefault="008D3E09" w:rsidP="008D3E09">
      <w:pPr>
        <w:pStyle w:val="FootnoteText"/>
        <w:bidi/>
        <w:rPr>
          <w:rFonts w:cs="Abz-2 (Badr)"/>
          <w:rtl/>
          <w:lang w:bidi="fa-IR"/>
        </w:rPr>
      </w:pPr>
      <w:r w:rsidRPr="008D3E09">
        <w:rPr>
          <w:rStyle w:val="FootnoteReference"/>
          <w:rFonts w:cs="Abz-2 (Badr)"/>
          <w:vertAlign w:val="baseline"/>
        </w:rPr>
        <w:footnoteRef/>
      </w:r>
      <w:r>
        <w:rPr>
          <w:rFonts w:cs="Abz-2 (Badr)" w:hint="cs"/>
          <w:rtl/>
        </w:rPr>
        <w:t xml:space="preserve"> ـ کشف اللثام</w:t>
      </w:r>
      <w:r>
        <w:rPr>
          <w:rFonts w:cs="Abz-2 (Badr)" w:hint="cs"/>
          <w:rtl/>
          <w:lang w:bidi="fa-IR"/>
        </w:rPr>
        <w:t>،ج7،ص537</w:t>
      </w:r>
      <w:r>
        <w:rPr>
          <w:rFonts w:cs="Abz-2 (Badr)" w:hint="cs"/>
          <w:rtl/>
        </w:rPr>
        <w:t>.</w:t>
      </w:r>
    </w:p>
  </w:footnote>
  <w:footnote w:id="4">
    <w:p w14:paraId="437F10E5" w14:textId="77777777" w:rsidR="008D3E09" w:rsidRDefault="008D3E09" w:rsidP="008D3E09">
      <w:pPr>
        <w:pStyle w:val="FootnoteText"/>
        <w:bidi/>
        <w:rPr>
          <w:rFonts w:cs="Abz-2 (Badr)"/>
          <w:rtl/>
          <w:lang w:bidi="fa-IR"/>
        </w:rPr>
      </w:pPr>
      <w:r w:rsidRPr="008D3E09">
        <w:rPr>
          <w:rStyle w:val="FootnoteReference"/>
          <w:rFonts w:cs="Abz-2 (Badr)"/>
          <w:vertAlign w:val="baseline"/>
        </w:rPr>
        <w:footnoteRef/>
      </w:r>
      <w:r w:rsidRPr="008D3E09">
        <w:rPr>
          <w:rFonts w:cs="Abz-2 (Badr)" w:hint="cs"/>
          <w:rtl/>
        </w:rPr>
        <w:t xml:space="preserve"> </w:t>
      </w:r>
      <w:r>
        <w:rPr>
          <w:rFonts w:cs="Abz-2 (Badr)" w:hint="cs"/>
          <w:rtl/>
        </w:rPr>
        <w:t>ـ رياض</w:t>
      </w:r>
      <w:r>
        <w:rPr>
          <w:rFonts w:cs="Abz-2 (Badr)" w:hint="cs"/>
          <w:rtl/>
          <w:lang w:bidi="fa-IR"/>
        </w:rPr>
        <w:t>،ج12،ص110</w:t>
      </w:r>
      <w:r>
        <w:rPr>
          <w:rFonts w:cs="Abz-2 (Badr)" w:hint="cs"/>
          <w:rtl/>
        </w:rPr>
        <w:t>.</w:t>
      </w:r>
    </w:p>
  </w:footnote>
  <w:footnote w:id="5">
    <w:p w14:paraId="3105E419" w14:textId="6AE93FC4" w:rsidR="002B2416" w:rsidRDefault="002B2416" w:rsidP="002B2416">
      <w:pPr>
        <w:pStyle w:val="FootnoteText"/>
        <w:bidi/>
        <w:rPr>
          <w:rFonts w:cs="Abz-2 (Badr)"/>
          <w:rtl/>
          <w:lang w:bidi="fa-IR"/>
        </w:rPr>
      </w:pPr>
      <w:r w:rsidRPr="008D3E09">
        <w:rPr>
          <w:rStyle w:val="FootnoteReference"/>
          <w:rFonts w:cs="Abz-2 (Badr)"/>
          <w:vertAlign w:val="baseline"/>
        </w:rPr>
        <w:footnoteRef/>
      </w:r>
      <w:r w:rsidRPr="008D3E09">
        <w:rPr>
          <w:rFonts w:cs="Abz-2 (Badr)" w:hint="cs"/>
          <w:rtl/>
        </w:rPr>
        <w:t xml:space="preserve"> </w:t>
      </w:r>
      <w:r>
        <w:rPr>
          <w:rFonts w:cs="Abz-2 (Badr)" w:hint="cs"/>
          <w:rtl/>
        </w:rPr>
        <w:t>ـ جواهر</w:t>
      </w:r>
      <w:r>
        <w:rPr>
          <w:rFonts w:cs="Abz-2 (Badr)" w:hint="cs"/>
          <w:rtl/>
          <w:lang w:bidi="fa-IR"/>
        </w:rPr>
        <w:t>،ج31،ص234</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16DD" w14:textId="77777777" w:rsidR="00EE4595" w:rsidRDefault="00EE4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6915" w14:textId="4B05AE8C" w:rsidR="00EE4595" w:rsidRDefault="00EE4595">
    <w:pPr>
      <w:pStyle w:val="Header"/>
    </w:pPr>
    <w:r>
      <w:rPr>
        <w:noProof/>
      </w:rPr>
      <mc:AlternateContent>
        <mc:Choice Requires="wps">
          <w:drawing>
            <wp:anchor distT="45720" distB="45720" distL="114300" distR="114300" simplePos="0" relativeHeight="251661312" behindDoc="0" locked="0" layoutInCell="1" allowOverlap="1" wp14:anchorId="340603A8" wp14:editId="18CDE07F">
              <wp:simplePos x="0" y="0"/>
              <wp:positionH relativeFrom="margin">
                <wp:posOffset>1800225</wp:posOffset>
              </wp:positionH>
              <wp:positionV relativeFrom="paragraph">
                <wp:posOffset>182880</wp:posOffset>
              </wp:positionV>
              <wp:extent cx="4445000" cy="11322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32205"/>
                      </a:xfrm>
                      <a:prstGeom prst="rect">
                        <a:avLst/>
                      </a:prstGeom>
                      <a:solidFill>
                        <a:srgbClr val="FFFFFF"/>
                      </a:solidFill>
                      <a:ln w="9525">
                        <a:noFill/>
                        <a:miter lim="800000"/>
                        <a:headEnd/>
                        <a:tailEnd/>
                      </a:ln>
                    </wps:spPr>
                    <wps:txbx>
                      <w:txbxContent>
                        <w:p w14:paraId="0CC1B508" w14:textId="6E70F47E" w:rsidR="00EE4595" w:rsidRDefault="00EE4595" w:rsidP="00EE4595">
                          <w:pPr>
                            <w:bidi/>
                            <w:rPr>
                              <w:rFonts w:cs="B Mehr"/>
                            </w:rPr>
                          </w:pPr>
                          <w:r>
                            <w:rPr>
                              <w:rFonts w:cs="B Mehr" w:hint="cs"/>
                              <w:rtl/>
                            </w:rPr>
                            <w:t>تقریر درس خارج فقه،  استاد حاج سید علی موسوی اردبیلی</w:t>
                          </w:r>
                          <w:r>
                            <w:rPr>
                              <w:rFonts w:cs="B Mehr" w:hint="cs"/>
                            </w:rPr>
                            <w:t xml:space="preserve"> </w:t>
                          </w:r>
                        </w:p>
                        <w:p w14:paraId="7E4AA56E" w14:textId="77777777" w:rsidR="00EE4595" w:rsidRDefault="00EE4595" w:rsidP="00EE4595">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10B96FA4" w14:textId="0CF6D087" w:rsidR="00EE4595" w:rsidRDefault="00EE4595" w:rsidP="00EE4595">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23</w:t>
                          </w:r>
                          <w:r>
                            <w:rPr>
                              <w:rFonts w:cs="B Mehr" w:hint="cs"/>
                              <w:rtl/>
                            </w:rPr>
                            <w:t xml:space="preserve">      دی  ماه - 1403ه.ش</w:t>
                          </w:r>
                        </w:p>
                        <w:p w14:paraId="34FC91AA" w14:textId="77777777" w:rsidR="00EE4595" w:rsidRDefault="00EE4595" w:rsidP="00EE4595"/>
                        <w:p w14:paraId="586CEB3E" w14:textId="77777777" w:rsidR="00EE4595" w:rsidRDefault="00EE4595" w:rsidP="00EE4595"/>
                        <w:p w14:paraId="6589841C" w14:textId="77777777" w:rsidR="00EE4595" w:rsidRDefault="00EE4595" w:rsidP="00EE4595"/>
                        <w:p w14:paraId="679E1729" w14:textId="77777777" w:rsidR="00EE4595" w:rsidRDefault="00EE4595" w:rsidP="00EE4595"/>
                        <w:p w14:paraId="36EB7CCD" w14:textId="77777777" w:rsidR="00EE4595" w:rsidRDefault="00EE4595" w:rsidP="00EE4595"/>
                        <w:p w14:paraId="031F9673" w14:textId="77777777" w:rsidR="00EE4595" w:rsidRDefault="00EE4595" w:rsidP="00EE4595"/>
                        <w:p w14:paraId="6DDB6250" w14:textId="77777777" w:rsidR="00EE4595" w:rsidRDefault="00EE4595" w:rsidP="00EE4595"/>
                        <w:p w14:paraId="14577B2C" w14:textId="77777777" w:rsidR="00EE4595" w:rsidRDefault="00EE4595" w:rsidP="00EE4595"/>
                        <w:p w14:paraId="7B1D04F2" w14:textId="77777777" w:rsidR="00EE4595" w:rsidRDefault="00EE4595" w:rsidP="00EE4595"/>
                        <w:p w14:paraId="2353C06F" w14:textId="77777777" w:rsidR="00EE4595" w:rsidRDefault="00EE4595" w:rsidP="00EE4595"/>
                        <w:p w14:paraId="5F0A3A5D" w14:textId="77777777" w:rsidR="00EE4595" w:rsidRDefault="00EE4595" w:rsidP="00EE4595"/>
                        <w:p w14:paraId="266DEC09" w14:textId="77777777" w:rsidR="00EE4595" w:rsidRDefault="00EE4595" w:rsidP="00EE4595"/>
                        <w:p w14:paraId="6204DE79" w14:textId="77777777" w:rsidR="00EE4595" w:rsidRDefault="00EE4595" w:rsidP="00EE4595"/>
                        <w:p w14:paraId="6FD7B38D" w14:textId="77777777" w:rsidR="00EE4595" w:rsidRDefault="00EE4595" w:rsidP="00EE4595"/>
                        <w:p w14:paraId="41102222" w14:textId="77777777" w:rsidR="00EE4595" w:rsidRDefault="00EE4595" w:rsidP="00EE4595"/>
                        <w:p w14:paraId="22FA3A36" w14:textId="77777777" w:rsidR="00EE4595" w:rsidRDefault="00EE4595" w:rsidP="00EE4595"/>
                        <w:p w14:paraId="7497E482" w14:textId="77777777" w:rsidR="00EE4595" w:rsidRDefault="00EE4595" w:rsidP="00EE4595"/>
                        <w:p w14:paraId="1E742F79" w14:textId="6756225B" w:rsidR="00EE4595" w:rsidRDefault="00EE45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603A8" id="_x0000_t202" coordsize="21600,21600" o:spt="202" path="m,l,21600r21600,l21600,xe">
              <v:stroke joinstyle="miter"/>
              <v:path gradientshapeok="t" o:connecttype="rect"/>
            </v:shapetype>
            <v:shape id="Text Box 2" o:spid="_x0000_s1026" type="#_x0000_t202" style="position:absolute;margin-left:141.75pt;margin-top:14.4pt;width:350pt;height:89.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75DQIAAPcDAAAOAAAAZHJzL2Uyb0RvYy54bWysU9uO0zAQfUfiHyy/01xIYTdqulq6FCEt&#10;F2nhAxzHaSxsj7HdJuXrd+xmuwXeEHmIZjz28Zkzx6ubSStyEM5LMA0tFjklwnDopNk19Pu37asr&#10;SnxgpmMKjGjoUXh6s375YjXaWpQwgOqEIwhifD3ahg4h2DrLPB+EZn4BVhgs9uA0C5i6XdY5NiK6&#10;VlmZ52+yEVxnHXDhPa7enYp0nfD7XvDwpe+9CEQ1FLmF9Hfp38Z/tl6xeueYHSSfabB/YKGZNHjp&#10;GeqOBUb2Tv4FpSV34KEPCw46g76XXKQesJsi/6Obh4FZkXpBcbw9y+T/Hyz/fHiwXx0J0zuYcICp&#10;CW/vgf/wxMBmYGYnbp2DcRCsw4uLKFk2Wl/PR6PUvvYRpB0/QYdDZvsACWjqnY6qYJ8E0XEAx7Po&#10;YgqE42JVVcs8xxLHWlG8Lst8me5g9dNx63z4IECTGDTU4VQTPDvc+xDpsPppS7zNg5LdViqVErdr&#10;N8qRA0MHbNM3o/+2TRkyNvR6WS4TsoF4PplDy4AOVVI39Ap5ItO0HOV4b7oUBybVKUYmysz6RElO&#10;4oSpnXBj1KmF7ohKOTg5EV8OBgO4X5SM6MKG+p975gQl6qNBta+Lqoq2TUm1fFti4i4r7WWFGY5Q&#10;DQ2UnMJNSFaPOhi4xan0Mun1zGTmiu5KMs4vIdr3Mk+7nt/r+hEAAP//AwBQSwMEFAAGAAgAAAAh&#10;ANIOStbdAAAACgEAAA8AAABkcnMvZG93bnJldi54bWxMj0FPwkAQhe8m/ofNkHgxsgWFQu2WqInG&#10;K8gPmLZD29CdbboLLf/ewYvcZt68vPleuhltq87U+8axgdk0AkVcuLLhysD+5/NpBcoH5BJbx2Tg&#10;Qh422f1diknpBt7SeRcqJSHsEzRQh9AlWvuiJot+6jpiuR1cbzHI2le67HGQcNvqeRQttcWG5UON&#10;HX3UVBx3J2vg8D08LtZD/hX28fZl+Y5NnLuLMQ+T8e0VVKAx/Jvhii/okAlT7k5cetUamK+eF2K9&#10;DlJBDOs/IRchimegs1TfVsh+AQAA//8DAFBLAQItABQABgAIAAAAIQC2gziS/gAAAOEBAAATAAAA&#10;AAAAAAAAAAAAAAAAAABbQ29udGVudF9UeXBlc10ueG1sUEsBAi0AFAAGAAgAAAAhADj9If/WAAAA&#10;lAEAAAsAAAAAAAAAAAAAAAAALwEAAF9yZWxzLy5yZWxzUEsBAi0AFAAGAAgAAAAhAMDunvkNAgAA&#10;9wMAAA4AAAAAAAAAAAAAAAAALgIAAGRycy9lMm9Eb2MueG1sUEsBAi0AFAAGAAgAAAAhANIOStbd&#10;AAAACgEAAA8AAAAAAAAAAAAAAAAAZwQAAGRycy9kb3ducmV2LnhtbFBLBQYAAAAABAAEAPMAAABx&#10;BQAAAAA=&#10;" stroked="f">
              <v:textbox>
                <w:txbxContent>
                  <w:p w14:paraId="0CC1B508" w14:textId="6E70F47E" w:rsidR="00EE4595" w:rsidRDefault="00EE4595" w:rsidP="00EE4595">
                    <w:pPr>
                      <w:bidi/>
                      <w:rPr>
                        <w:rFonts w:cs="B Mehr"/>
                      </w:rPr>
                    </w:pPr>
                    <w:r>
                      <w:rPr>
                        <w:rFonts w:cs="B Mehr" w:hint="cs"/>
                        <w:rtl/>
                      </w:rPr>
                      <w:t>تقریر درس خارج فقه،  استاد حاج سید علی موسوی اردبیلی</w:t>
                    </w:r>
                    <w:r>
                      <w:rPr>
                        <w:rFonts w:cs="B Mehr" w:hint="cs"/>
                      </w:rPr>
                      <w:t xml:space="preserve"> </w:t>
                    </w:r>
                  </w:p>
                  <w:p w14:paraId="7E4AA56E" w14:textId="77777777" w:rsidR="00EE4595" w:rsidRDefault="00EE4595" w:rsidP="00EE4595">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10B96FA4" w14:textId="0CF6D087" w:rsidR="00EE4595" w:rsidRDefault="00EE4595" w:rsidP="00EE4595">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 شنبه </w:t>
                    </w:r>
                    <w:r>
                      <w:rPr>
                        <w:rFonts w:cs="B Mehr" w:hint="cs"/>
                        <w:rtl/>
                      </w:rPr>
                      <w:t xml:space="preserve">،   </w:t>
                    </w:r>
                    <w:r>
                      <w:rPr>
                        <w:rFonts w:cs="B Mehr" w:hint="cs"/>
                        <w:rtl/>
                      </w:rPr>
                      <w:t>23</w:t>
                    </w:r>
                    <w:r>
                      <w:rPr>
                        <w:rFonts w:cs="B Mehr" w:hint="cs"/>
                        <w:rtl/>
                      </w:rPr>
                      <w:t xml:space="preserve">      دی  ماه - 1403ه.ش</w:t>
                    </w:r>
                  </w:p>
                  <w:p w14:paraId="34FC91AA" w14:textId="77777777" w:rsidR="00EE4595" w:rsidRDefault="00EE4595" w:rsidP="00EE4595"/>
                  <w:p w14:paraId="586CEB3E" w14:textId="77777777" w:rsidR="00EE4595" w:rsidRDefault="00EE4595" w:rsidP="00EE4595"/>
                  <w:p w14:paraId="6589841C" w14:textId="77777777" w:rsidR="00EE4595" w:rsidRDefault="00EE4595" w:rsidP="00EE4595"/>
                  <w:p w14:paraId="679E1729" w14:textId="77777777" w:rsidR="00EE4595" w:rsidRDefault="00EE4595" w:rsidP="00EE4595"/>
                  <w:p w14:paraId="36EB7CCD" w14:textId="77777777" w:rsidR="00EE4595" w:rsidRDefault="00EE4595" w:rsidP="00EE4595"/>
                  <w:p w14:paraId="031F9673" w14:textId="77777777" w:rsidR="00EE4595" w:rsidRDefault="00EE4595" w:rsidP="00EE4595"/>
                  <w:p w14:paraId="6DDB6250" w14:textId="77777777" w:rsidR="00EE4595" w:rsidRDefault="00EE4595" w:rsidP="00EE4595"/>
                  <w:p w14:paraId="14577B2C" w14:textId="77777777" w:rsidR="00EE4595" w:rsidRDefault="00EE4595" w:rsidP="00EE4595"/>
                  <w:p w14:paraId="7B1D04F2" w14:textId="77777777" w:rsidR="00EE4595" w:rsidRDefault="00EE4595" w:rsidP="00EE4595"/>
                  <w:p w14:paraId="2353C06F" w14:textId="77777777" w:rsidR="00EE4595" w:rsidRDefault="00EE4595" w:rsidP="00EE4595"/>
                  <w:p w14:paraId="5F0A3A5D" w14:textId="77777777" w:rsidR="00EE4595" w:rsidRDefault="00EE4595" w:rsidP="00EE4595"/>
                  <w:p w14:paraId="266DEC09" w14:textId="77777777" w:rsidR="00EE4595" w:rsidRDefault="00EE4595" w:rsidP="00EE4595"/>
                  <w:p w14:paraId="6204DE79" w14:textId="77777777" w:rsidR="00EE4595" w:rsidRDefault="00EE4595" w:rsidP="00EE4595"/>
                  <w:p w14:paraId="6FD7B38D" w14:textId="77777777" w:rsidR="00EE4595" w:rsidRDefault="00EE4595" w:rsidP="00EE4595"/>
                  <w:p w14:paraId="41102222" w14:textId="77777777" w:rsidR="00EE4595" w:rsidRDefault="00EE4595" w:rsidP="00EE4595"/>
                  <w:p w14:paraId="22FA3A36" w14:textId="77777777" w:rsidR="00EE4595" w:rsidRDefault="00EE4595" w:rsidP="00EE4595"/>
                  <w:p w14:paraId="7497E482" w14:textId="77777777" w:rsidR="00EE4595" w:rsidRDefault="00EE4595" w:rsidP="00EE4595"/>
                  <w:p w14:paraId="1E742F79" w14:textId="6756225B" w:rsidR="00EE4595" w:rsidRDefault="00EE4595"/>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297F2E9" wp14:editId="5A4EBCA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CBC0" w14:textId="77777777" w:rsidR="00EE4595" w:rsidRDefault="00EE45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418F"/>
    <w:rsid w:val="00045243"/>
    <w:rsid w:val="00045A06"/>
    <w:rsid w:val="0004669E"/>
    <w:rsid w:val="00047470"/>
    <w:rsid w:val="0004777C"/>
    <w:rsid w:val="00047F82"/>
    <w:rsid w:val="00054579"/>
    <w:rsid w:val="00054C3B"/>
    <w:rsid w:val="00054FF4"/>
    <w:rsid w:val="0005502A"/>
    <w:rsid w:val="00055996"/>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025"/>
    <w:rsid w:val="001347DB"/>
    <w:rsid w:val="00134C8B"/>
    <w:rsid w:val="0013568B"/>
    <w:rsid w:val="0013641F"/>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180"/>
    <w:rsid w:val="001A139F"/>
    <w:rsid w:val="001A1B2F"/>
    <w:rsid w:val="001A1C65"/>
    <w:rsid w:val="001A2687"/>
    <w:rsid w:val="001A290F"/>
    <w:rsid w:val="001A2B9A"/>
    <w:rsid w:val="001A58DF"/>
    <w:rsid w:val="001A6859"/>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308"/>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27BE"/>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4993"/>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A782B"/>
    <w:rsid w:val="006B05BA"/>
    <w:rsid w:val="006B0CCD"/>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17513"/>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C7BBC"/>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3E09"/>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4E21"/>
    <w:rsid w:val="00B15B18"/>
    <w:rsid w:val="00B15E53"/>
    <w:rsid w:val="00B167DF"/>
    <w:rsid w:val="00B16A2B"/>
    <w:rsid w:val="00B16F52"/>
    <w:rsid w:val="00B177DA"/>
    <w:rsid w:val="00B178BE"/>
    <w:rsid w:val="00B20507"/>
    <w:rsid w:val="00B2122E"/>
    <w:rsid w:val="00B21721"/>
    <w:rsid w:val="00B22729"/>
    <w:rsid w:val="00B22B97"/>
    <w:rsid w:val="00B23643"/>
    <w:rsid w:val="00B2383F"/>
    <w:rsid w:val="00B23C2C"/>
    <w:rsid w:val="00B240A1"/>
    <w:rsid w:val="00B24408"/>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5FF5"/>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22C8"/>
    <w:rsid w:val="00CF2839"/>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E3A"/>
    <w:rsid w:val="00D27803"/>
    <w:rsid w:val="00D3057E"/>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2746"/>
    <w:rsid w:val="00E8372E"/>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4595"/>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17CBB"/>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18292</TotalTime>
  <Pages>1</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328</cp:revision>
  <cp:lastPrinted>2025-01-11T07:41:00Z</cp:lastPrinted>
  <dcterms:created xsi:type="dcterms:W3CDTF">2022-10-16T08:36:00Z</dcterms:created>
  <dcterms:modified xsi:type="dcterms:W3CDTF">2025-01-12T07:05:00Z</dcterms:modified>
</cp:coreProperties>
</file>